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20"/>
          <w:tab w:val="center" w:leader="none" w:pos="4153"/>
          <w:tab w:val="center" w:leader="none" w:pos="4513"/>
          <w:tab w:val="right" w:leader="none" w:pos="8306"/>
          <w:tab w:val="right" w:leader="none" w:pos="9026"/>
        </w:tabs>
        <w:spacing w:after="120" w:before="120" w:line="240" w:lineRule="auto"/>
        <w:rPr>
          <w:b w:val="1"/>
          <w:bCs w:val="1"/>
          <w:smallCaps w:val="1"/>
          <w:color w:val="000000"/>
          <w:sz w:val="36"/>
          <w:szCs w:val="36"/>
        </w:rPr>
      </w:pPr>
      <w:r w:rsidDel="00000000" w:rsidR="00000000" w:rsidRPr="00000000">
        <w:rPr>
          <w:b w:val="1"/>
          <w:bCs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jc w:val="left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highlight w:val="yellow"/>
          <w:rtl w:val="0"/>
        </w:rPr>
        <w:t xml:space="preserve">[Buyer Guidance: This Schedule should be used to show further detailed pricing information, in addition to the pricing in the Order Form.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b w:val="1"/>
          <w:bCs w:val="1"/>
          <w:i w:val="1"/>
          <w:iCs w:val="1"/>
          <w:highlight w:val="yellow"/>
          <w:rtl w:val="0"/>
        </w:rPr>
        <w:t xml:space="preserve">Buyers must set out any gainshare provisions agreed in this Schedule.]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120" w:before="12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v1.0 PA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v1.0 PA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b w:val="1"/>
        <w:bCs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Crown Copyright 2025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b w:val="1"/>
        <w:bCs w:val="1"/>
        <w:sz w:val="22"/>
        <w:szCs w:val="22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Call-Off Ref: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Crown Copyright 2025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Plato Jurisdiction">
    <vt:lpwstr>ENW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Template">
    <vt:lpwstr>uk-blank</vt:lpwstr>
  </property>
  <property fmtid="{D5CDD505-2E9C-101B-9397-08002B2CF9AE}" pid="7" name="Plato Template Version">
    <vt:lpwstr>1.1</vt:lpwstr>
  </property>
</Properties>
</file>